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5D" w:rsidRPr="00B13B5D" w:rsidRDefault="00B13B5D">
      <w:pPr>
        <w:rPr>
          <w:rFonts w:ascii="Verdana" w:hAnsi="Verdana"/>
        </w:rPr>
      </w:pPr>
    </w:p>
    <w:tbl>
      <w:tblPr>
        <w:tblStyle w:val="TableGrid"/>
        <w:tblW w:w="10485" w:type="dxa"/>
        <w:tblBorders>
          <w:top w:val="single" w:sz="4" w:space="0" w:color="295FC9"/>
          <w:left w:val="single" w:sz="4" w:space="0" w:color="295FC9"/>
          <w:bottom w:val="single" w:sz="4" w:space="0" w:color="295FC9"/>
          <w:right w:val="single" w:sz="4" w:space="0" w:color="295FC9"/>
          <w:insideH w:val="single" w:sz="4" w:space="0" w:color="295FC9"/>
          <w:insideV w:val="single" w:sz="4" w:space="0" w:color="295FC9"/>
        </w:tblBorders>
        <w:tblLook w:val="04A0" w:firstRow="1" w:lastRow="0" w:firstColumn="1" w:lastColumn="0" w:noHBand="0" w:noVBand="1"/>
      </w:tblPr>
      <w:tblGrid>
        <w:gridCol w:w="421"/>
        <w:gridCol w:w="10064"/>
      </w:tblGrid>
      <w:tr w:rsidR="00B13B5D" w:rsidRPr="00B13B5D" w:rsidTr="00021C09">
        <w:tc>
          <w:tcPr>
            <w:tcW w:w="10485" w:type="dxa"/>
            <w:gridSpan w:val="2"/>
          </w:tcPr>
          <w:p w:rsidR="00B13B5D" w:rsidRPr="00B13B5D" w:rsidRDefault="00B13B5D" w:rsidP="00B13B5D">
            <w:pPr>
              <w:jc w:val="center"/>
              <w:rPr>
                <w:rFonts w:ascii="Verdana" w:hAnsi="Verdana"/>
              </w:rPr>
            </w:pPr>
            <w:r>
              <w:rPr>
                <w:rFonts w:ascii="Verdana" w:hAnsi="Verdana"/>
                <w:noProof/>
              </w:rPr>
              <w:drawing>
                <wp:inline distT="0" distB="0" distL="0" distR="0">
                  <wp:extent cx="2653200" cy="8172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Health Network Cymru - BILINGUAL-Upda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3200" cy="817200"/>
                          </a:xfrm>
                          <a:prstGeom prst="rect">
                            <a:avLst/>
                          </a:prstGeom>
                        </pic:spPr>
                      </pic:pic>
                    </a:graphicData>
                  </a:graphic>
                </wp:inline>
              </w:drawing>
            </w:r>
          </w:p>
        </w:tc>
      </w:tr>
      <w:tr w:rsidR="00B13B5D" w:rsidRPr="00B13B5D" w:rsidTr="00021C09">
        <w:tc>
          <w:tcPr>
            <w:tcW w:w="10485" w:type="dxa"/>
            <w:gridSpan w:val="2"/>
            <w:shd w:val="clear" w:color="auto" w:fill="295FC9"/>
          </w:tcPr>
          <w:p w:rsidR="00B36D9C" w:rsidRDefault="00B36D9C" w:rsidP="00B13B5D">
            <w:pPr>
              <w:jc w:val="center"/>
              <w:rPr>
                <w:rFonts w:ascii="Verdana" w:hAnsi="Verdana"/>
                <w:sz w:val="28"/>
                <w:szCs w:val="28"/>
              </w:rPr>
            </w:pPr>
          </w:p>
          <w:p w:rsidR="001E36CB" w:rsidRPr="001E36CB" w:rsidRDefault="001E36CB" w:rsidP="001E36CB">
            <w:pPr>
              <w:jc w:val="center"/>
              <w:rPr>
                <w:rFonts w:ascii="Verdana" w:hAnsi="Verdana"/>
                <w:color w:val="FFFFFF" w:themeColor="background1"/>
                <w:sz w:val="28"/>
                <w:szCs w:val="28"/>
              </w:rPr>
            </w:pPr>
            <w:r w:rsidRPr="001E36CB">
              <w:rPr>
                <w:rFonts w:ascii="Verdana" w:hAnsi="Verdana"/>
                <w:color w:val="FFFFFF" w:themeColor="background1"/>
                <w:sz w:val="28"/>
                <w:szCs w:val="28"/>
              </w:rPr>
              <w:t>Criteria for being part of the</w:t>
            </w:r>
            <w:r>
              <w:rPr>
                <w:rFonts w:ascii="Verdana" w:hAnsi="Verdana"/>
                <w:color w:val="FFFFFF" w:themeColor="background1"/>
                <w:sz w:val="28"/>
                <w:szCs w:val="28"/>
              </w:rPr>
              <w:t xml:space="preserve"> Communities4Change Wales pilot</w:t>
            </w:r>
          </w:p>
          <w:p w:rsidR="00B13B5D" w:rsidRPr="00B13B5D" w:rsidRDefault="00B13B5D" w:rsidP="001E36CB">
            <w:pPr>
              <w:jc w:val="center"/>
              <w:rPr>
                <w:rFonts w:ascii="Verdana" w:hAnsi="Verdana"/>
                <w:sz w:val="28"/>
                <w:szCs w:val="28"/>
              </w:rPr>
            </w:pPr>
          </w:p>
        </w:tc>
      </w:tr>
      <w:tr w:rsidR="001E36CB" w:rsidRPr="00B13B5D" w:rsidTr="001E36CB">
        <w:tc>
          <w:tcPr>
            <w:tcW w:w="421" w:type="dxa"/>
          </w:tcPr>
          <w:p w:rsidR="001E36CB" w:rsidRPr="00B13B5D" w:rsidRDefault="001E36CB" w:rsidP="00B13B5D">
            <w:pPr>
              <w:jc w:val="center"/>
              <w:rPr>
                <w:rFonts w:ascii="Verdana" w:hAnsi="Verdana" w:cstheme="minorHAnsi"/>
              </w:rPr>
            </w:pPr>
            <w:r>
              <w:rPr>
                <w:rFonts w:ascii="Verdana" w:hAnsi="Verdana" w:cstheme="minorHAnsi"/>
              </w:rPr>
              <w:t>1</w:t>
            </w:r>
          </w:p>
        </w:tc>
        <w:tc>
          <w:tcPr>
            <w:tcW w:w="10064" w:type="dxa"/>
          </w:tcPr>
          <w:p w:rsidR="001E36CB" w:rsidRPr="001E36CB" w:rsidRDefault="001E36CB" w:rsidP="001E36CB">
            <w:pPr>
              <w:rPr>
                <w:rFonts w:ascii="Verdana" w:hAnsi="Verdana" w:cstheme="minorHAnsi"/>
              </w:rPr>
            </w:pPr>
            <w:r w:rsidRPr="001E36CB">
              <w:rPr>
                <w:rFonts w:ascii="Verdana" w:hAnsi="Verdana"/>
              </w:rPr>
              <w:t>Your organisation must be at the stage where they can articulate the issue that needs to be addressed and the solution or change you want to implement</w:t>
            </w:r>
          </w:p>
        </w:tc>
      </w:tr>
      <w:tr w:rsidR="001E36CB" w:rsidRPr="00B13B5D" w:rsidTr="001E36CB">
        <w:tc>
          <w:tcPr>
            <w:tcW w:w="421" w:type="dxa"/>
          </w:tcPr>
          <w:p w:rsidR="001E36CB" w:rsidRPr="00B13B5D" w:rsidRDefault="001E36CB" w:rsidP="00B13B5D">
            <w:pPr>
              <w:jc w:val="center"/>
              <w:rPr>
                <w:rFonts w:ascii="Verdana" w:hAnsi="Verdana" w:cstheme="minorHAnsi"/>
              </w:rPr>
            </w:pPr>
            <w:r>
              <w:rPr>
                <w:rFonts w:ascii="Verdana" w:hAnsi="Verdana" w:cstheme="minorHAnsi"/>
              </w:rPr>
              <w:t>2</w:t>
            </w:r>
          </w:p>
        </w:tc>
        <w:tc>
          <w:tcPr>
            <w:tcW w:w="10064" w:type="dxa"/>
          </w:tcPr>
          <w:p w:rsidR="001E36CB" w:rsidRPr="001E36CB" w:rsidRDefault="001E36CB" w:rsidP="001E36CB">
            <w:pPr>
              <w:spacing w:after="160" w:line="259" w:lineRule="auto"/>
              <w:contextualSpacing/>
              <w:rPr>
                <w:rFonts w:ascii="Verdana" w:hAnsi="Verdana"/>
              </w:rPr>
            </w:pPr>
            <w:r w:rsidRPr="001E36CB">
              <w:rPr>
                <w:rFonts w:ascii="Verdana" w:hAnsi="Verdana"/>
              </w:rPr>
              <w:t>Solution(s) could involve policy implementation, service improvement, joining up systems to improve collaborative working or targeted work with specific populations</w:t>
            </w:r>
          </w:p>
        </w:tc>
      </w:tr>
      <w:tr w:rsidR="001E36CB" w:rsidRPr="00B13B5D" w:rsidTr="001E36CB">
        <w:tc>
          <w:tcPr>
            <w:tcW w:w="421" w:type="dxa"/>
          </w:tcPr>
          <w:p w:rsidR="001E36CB" w:rsidRPr="00B13B5D" w:rsidRDefault="001E36CB" w:rsidP="00B13B5D">
            <w:pPr>
              <w:jc w:val="center"/>
              <w:rPr>
                <w:rFonts w:ascii="Verdana" w:hAnsi="Verdana" w:cstheme="minorHAnsi"/>
              </w:rPr>
            </w:pPr>
            <w:r>
              <w:rPr>
                <w:rFonts w:ascii="Verdana" w:hAnsi="Verdana" w:cstheme="minorHAnsi"/>
              </w:rPr>
              <w:t>3</w:t>
            </w:r>
          </w:p>
        </w:tc>
        <w:tc>
          <w:tcPr>
            <w:tcW w:w="10064" w:type="dxa"/>
          </w:tcPr>
          <w:p w:rsidR="001E36CB" w:rsidRPr="001E36CB" w:rsidRDefault="001E36CB" w:rsidP="001E36CB">
            <w:pPr>
              <w:spacing w:after="160" w:line="259" w:lineRule="auto"/>
              <w:contextualSpacing/>
              <w:rPr>
                <w:rFonts w:ascii="Verdana" w:hAnsi="Verdana"/>
              </w:rPr>
            </w:pPr>
            <w:r w:rsidRPr="001E36CB">
              <w:rPr>
                <w:rFonts w:ascii="Verdana" w:hAnsi="Verdana"/>
              </w:rPr>
              <w:t xml:space="preserve">The issue must relate to the wider determinants of health and solutions must have the potential to show a demonstrable impact. </w:t>
            </w:r>
          </w:p>
          <w:p w:rsidR="001E36CB" w:rsidRPr="001E36CB" w:rsidRDefault="001E36CB" w:rsidP="001E36CB">
            <w:pPr>
              <w:pStyle w:val="ListParagraph"/>
              <w:spacing w:before="0" w:beforeAutospacing="0" w:after="160" w:afterAutospacing="0" w:line="233" w:lineRule="atLeast"/>
              <w:rPr>
                <w:rFonts w:ascii="Verdana" w:hAnsi="Verdana" w:cs="Calibri"/>
              </w:rPr>
            </w:pPr>
            <w:r w:rsidRPr="001E36CB">
              <w:rPr>
                <w:rFonts w:ascii="Verdana" w:hAnsi="Verdana" w:cs="Calibri"/>
              </w:rPr>
              <w:t>The wider determinants of health includes:</w:t>
            </w:r>
            <w:r w:rsidRPr="001E36CB">
              <w:rPr>
                <w:rStyle w:val="apple-converted-space"/>
                <w:rFonts w:ascii="Verdana" w:hAnsi="Verdana" w:cs="Calibri"/>
              </w:rPr>
              <w:t> </w:t>
            </w:r>
          </w:p>
          <w:p w:rsidR="001E36CB" w:rsidRPr="001E36CB" w:rsidRDefault="001E36CB" w:rsidP="001E36CB">
            <w:pPr>
              <w:numPr>
                <w:ilvl w:val="0"/>
                <w:numId w:val="5"/>
              </w:numPr>
              <w:shd w:val="clear" w:color="auto" w:fill="FFFFFF"/>
              <w:rPr>
                <w:rFonts w:ascii="Verdana" w:eastAsia="Times New Roman" w:hAnsi="Verdana" w:cs="Calibri"/>
                <w:color w:val="212529"/>
              </w:rPr>
            </w:pPr>
            <w:r w:rsidRPr="001E36CB">
              <w:rPr>
                <w:rFonts w:ascii="Verdana" w:eastAsia="Times New Roman" w:hAnsi="Verdana" w:cs="Calibri"/>
                <w:color w:val="212529"/>
              </w:rPr>
              <w:t>money and resources</w:t>
            </w:r>
          </w:p>
          <w:p w:rsidR="001E36CB" w:rsidRPr="001E36CB" w:rsidRDefault="001E36CB" w:rsidP="001E36CB">
            <w:pPr>
              <w:numPr>
                <w:ilvl w:val="0"/>
                <w:numId w:val="5"/>
              </w:numPr>
              <w:shd w:val="clear" w:color="auto" w:fill="FFFFFF"/>
              <w:rPr>
                <w:rFonts w:ascii="Verdana" w:eastAsia="Times New Roman" w:hAnsi="Verdana" w:cs="Calibri"/>
                <w:color w:val="212529"/>
              </w:rPr>
            </w:pPr>
            <w:r w:rsidRPr="001E36CB">
              <w:rPr>
                <w:rFonts w:ascii="Verdana" w:eastAsia="Times New Roman" w:hAnsi="Verdana" w:cs="Calibri"/>
                <w:color w:val="212529"/>
              </w:rPr>
              <w:t>our level of education and skills</w:t>
            </w:r>
          </w:p>
          <w:p w:rsidR="001E36CB" w:rsidRPr="001E36CB" w:rsidRDefault="001E36CB" w:rsidP="001E36CB">
            <w:pPr>
              <w:numPr>
                <w:ilvl w:val="0"/>
                <w:numId w:val="5"/>
              </w:numPr>
              <w:shd w:val="clear" w:color="auto" w:fill="FFFFFF"/>
              <w:rPr>
                <w:rFonts w:ascii="Verdana" w:eastAsia="Times New Roman" w:hAnsi="Verdana" w:cs="Calibri"/>
              </w:rPr>
            </w:pPr>
            <w:hyperlink r:id="rId6" w:tgtFrame="_self" w:history="1">
              <w:r w:rsidRPr="001E36CB">
                <w:rPr>
                  <w:rStyle w:val="Hyperlink"/>
                  <w:rFonts w:ascii="Verdana" w:eastAsia="Times New Roman" w:hAnsi="Verdana" w:cs="Calibri"/>
                </w:rPr>
                <w:t>availability of good, fair work</w:t>
              </w:r>
            </w:hyperlink>
          </w:p>
          <w:p w:rsidR="001E36CB" w:rsidRPr="001E36CB" w:rsidRDefault="001E36CB" w:rsidP="001E36CB">
            <w:pPr>
              <w:numPr>
                <w:ilvl w:val="0"/>
                <w:numId w:val="5"/>
              </w:numPr>
              <w:shd w:val="clear" w:color="auto" w:fill="FFFFFF"/>
              <w:rPr>
                <w:rFonts w:ascii="Verdana" w:eastAsia="Times New Roman" w:hAnsi="Verdana" w:cs="Calibri"/>
                <w:color w:val="212529"/>
              </w:rPr>
            </w:pPr>
            <w:r w:rsidRPr="001E36CB">
              <w:rPr>
                <w:rFonts w:ascii="Verdana" w:eastAsia="Times New Roman" w:hAnsi="Verdana" w:cs="Calibri"/>
                <w:color w:val="212529"/>
              </w:rPr>
              <w:t>the quality and security of our housing</w:t>
            </w:r>
          </w:p>
          <w:p w:rsidR="001E36CB" w:rsidRPr="001E36CB" w:rsidRDefault="001E36CB" w:rsidP="001E36CB">
            <w:pPr>
              <w:numPr>
                <w:ilvl w:val="0"/>
                <w:numId w:val="5"/>
              </w:numPr>
              <w:shd w:val="clear" w:color="auto" w:fill="FFFFFF"/>
              <w:rPr>
                <w:rFonts w:ascii="Verdana" w:eastAsia="Times New Roman" w:hAnsi="Verdana" w:cs="Calibri"/>
                <w:color w:val="212529"/>
              </w:rPr>
            </w:pPr>
            <w:r w:rsidRPr="001E36CB">
              <w:rPr>
                <w:rFonts w:ascii="Verdana" w:eastAsia="Times New Roman" w:hAnsi="Verdana" w:cs="Calibri"/>
                <w:color w:val="212529"/>
              </w:rPr>
              <w:t>our surroundings (e.g. access to green and blue spaces; access to public transport, availability of walking and cycling paths; air quality)</w:t>
            </w:r>
          </w:p>
          <w:p w:rsidR="001E36CB" w:rsidRPr="001E36CB" w:rsidRDefault="001E36CB" w:rsidP="001E36CB">
            <w:pPr>
              <w:pStyle w:val="ListParagraph"/>
              <w:spacing w:line="233" w:lineRule="atLeast"/>
              <w:rPr>
                <w:rFonts w:ascii="Verdana" w:hAnsi="Verdana" w:cs="Calibri"/>
              </w:rPr>
            </w:pPr>
            <w:r w:rsidRPr="001E36CB">
              <w:rPr>
                <w:rFonts w:ascii="Verdana" w:hAnsi="Verdana" w:cs="Calibri"/>
              </w:rPr>
              <w:t>If you have a project or programme outside of the wider determinants of health that would benefit from using the Communities4Change Wales approach and aims improve population health and reduce health inequities please contact Christian Heathcote-Elliott to discuss at:</w:t>
            </w:r>
            <w:r w:rsidRPr="001E36CB">
              <w:rPr>
                <w:rStyle w:val="apple-converted-space"/>
                <w:rFonts w:ascii="Verdana" w:hAnsi="Verdana" w:cs="Calibri"/>
              </w:rPr>
              <w:t> </w:t>
            </w:r>
            <w:hyperlink r:id="rId7" w:history="1">
              <w:r w:rsidRPr="001E36CB">
                <w:rPr>
                  <w:rStyle w:val="Hyperlink"/>
                  <w:rFonts w:ascii="Verdana" w:hAnsi="Verdana" w:cs="Calibri"/>
                  <w:color w:val="954F72"/>
                </w:rPr>
                <w:t>christian.heathcote-elliott@wales.nhs.uk</w:t>
              </w:r>
            </w:hyperlink>
          </w:p>
        </w:tc>
      </w:tr>
      <w:tr w:rsidR="001E36CB" w:rsidRPr="00B13B5D" w:rsidTr="001E36CB">
        <w:tc>
          <w:tcPr>
            <w:tcW w:w="421" w:type="dxa"/>
          </w:tcPr>
          <w:p w:rsidR="001E36CB" w:rsidRPr="00B13B5D" w:rsidRDefault="001E36CB" w:rsidP="00B13B5D">
            <w:pPr>
              <w:jc w:val="center"/>
              <w:rPr>
                <w:rFonts w:ascii="Verdana" w:hAnsi="Verdana" w:cstheme="minorHAnsi"/>
              </w:rPr>
            </w:pPr>
            <w:r>
              <w:rPr>
                <w:rFonts w:ascii="Verdana" w:hAnsi="Verdana" w:cstheme="minorHAnsi"/>
              </w:rPr>
              <w:t>4</w:t>
            </w:r>
          </w:p>
        </w:tc>
        <w:tc>
          <w:tcPr>
            <w:tcW w:w="10064" w:type="dxa"/>
          </w:tcPr>
          <w:p w:rsidR="001E36CB" w:rsidRPr="001E36CB" w:rsidRDefault="001E36CB" w:rsidP="001E36CB">
            <w:pPr>
              <w:spacing w:after="160" w:line="259" w:lineRule="auto"/>
              <w:contextualSpacing/>
              <w:rPr>
                <w:rFonts w:ascii="Verdana" w:hAnsi="Verdana"/>
              </w:rPr>
            </w:pPr>
            <w:r w:rsidRPr="001E36CB">
              <w:rPr>
                <w:rFonts w:ascii="Verdana" w:hAnsi="Verdana"/>
              </w:rPr>
              <w:t>There must be senior level buy in for the proposed change with an agreed sponsor.</w:t>
            </w:r>
          </w:p>
        </w:tc>
      </w:tr>
      <w:tr w:rsidR="001E36CB" w:rsidRPr="00B13B5D" w:rsidTr="001E36CB">
        <w:tc>
          <w:tcPr>
            <w:tcW w:w="421" w:type="dxa"/>
          </w:tcPr>
          <w:p w:rsidR="001E36CB" w:rsidRPr="00B13B5D" w:rsidRDefault="001E36CB" w:rsidP="00B13B5D">
            <w:pPr>
              <w:jc w:val="center"/>
              <w:rPr>
                <w:rFonts w:ascii="Verdana" w:hAnsi="Verdana" w:cstheme="minorHAnsi"/>
              </w:rPr>
            </w:pPr>
            <w:r>
              <w:rPr>
                <w:rFonts w:ascii="Verdana" w:hAnsi="Verdana" w:cstheme="minorHAnsi"/>
              </w:rPr>
              <w:t>5</w:t>
            </w:r>
          </w:p>
        </w:tc>
        <w:tc>
          <w:tcPr>
            <w:tcW w:w="10064" w:type="dxa"/>
          </w:tcPr>
          <w:p w:rsidR="001E36CB" w:rsidRPr="001E36CB" w:rsidRDefault="001E36CB" w:rsidP="001E36CB">
            <w:pPr>
              <w:spacing w:after="160" w:line="259" w:lineRule="auto"/>
              <w:contextualSpacing/>
              <w:rPr>
                <w:rFonts w:ascii="Verdana" w:hAnsi="Verdana"/>
              </w:rPr>
            </w:pPr>
            <w:r w:rsidRPr="001E36CB">
              <w:rPr>
                <w:rFonts w:ascii="Verdana" w:hAnsi="Verdana"/>
              </w:rPr>
              <w:t>You must be able to identify a leader/leaders for the change who will work closely with the Communities4Change Wales’ facilitators.</w:t>
            </w:r>
          </w:p>
        </w:tc>
      </w:tr>
      <w:tr w:rsidR="001E36CB" w:rsidRPr="00B13B5D" w:rsidTr="001E36CB">
        <w:tc>
          <w:tcPr>
            <w:tcW w:w="421" w:type="dxa"/>
          </w:tcPr>
          <w:p w:rsidR="001E36CB" w:rsidRPr="00B13B5D" w:rsidRDefault="001E36CB" w:rsidP="00B13B5D">
            <w:pPr>
              <w:jc w:val="center"/>
              <w:rPr>
                <w:rFonts w:ascii="Verdana" w:hAnsi="Verdana" w:cstheme="minorHAnsi"/>
              </w:rPr>
            </w:pPr>
            <w:r>
              <w:rPr>
                <w:rFonts w:ascii="Verdana" w:hAnsi="Verdana" w:cstheme="minorHAnsi"/>
              </w:rPr>
              <w:t>6</w:t>
            </w:r>
          </w:p>
        </w:tc>
        <w:tc>
          <w:tcPr>
            <w:tcW w:w="10064" w:type="dxa"/>
          </w:tcPr>
          <w:p w:rsidR="001E36CB" w:rsidRPr="001E36CB" w:rsidRDefault="001E36CB" w:rsidP="001E36CB">
            <w:pPr>
              <w:spacing w:after="160" w:line="259" w:lineRule="auto"/>
              <w:contextualSpacing/>
              <w:rPr>
                <w:rFonts w:ascii="Verdana" w:hAnsi="Verdana"/>
              </w:rPr>
            </w:pPr>
            <w:r w:rsidRPr="001E36CB">
              <w:rPr>
                <w:rFonts w:ascii="Verdana" w:hAnsi="Verdana"/>
              </w:rPr>
              <w:t xml:space="preserve">Your organisation must be supportive of releasing capacity to commit to participating in the project for a minimum of 6 months including a 3 month action phase. </w:t>
            </w:r>
          </w:p>
        </w:tc>
      </w:tr>
    </w:tbl>
    <w:p w:rsidR="00B13B5D" w:rsidRPr="00B13B5D" w:rsidRDefault="00B13B5D">
      <w:pPr>
        <w:rPr>
          <w:rFonts w:ascii="Verdana" w:hAnsi="Verdana"/>
        </w:rPr>
      </w:pPr>
    </w:p>
    <w:p w:rsidR="00B13B5D" w:rsidRPr="00B13B5D" w:rsidRDefault="00B13B5D">
      <w:pPr>
        <w:rPr>
          <w:rFonts w:ascii="Verdana" w:hAnsi="Verdana"/>
        </w:rPr>
      </w:pPr>
    </w:p>
    <w:p w:rsidR="00B13B5D" w:rsidRPr="00B13B5D" w:rsidRDefault="00B13B5D">
      <w:pPr>
        <w:rPr>
          <w:rFonts w:ascii="Verdana" w:hAnsi="Verdana"/>
        </w:rPr>
      </w:pPr>
    </w:p>
    <w:p w:rsidR="00B13B5D" w:rsidRPr="00B13B5D" w:rsidRDefault="00B13B5D">
      <w:pPr>
        <w:rPr>
          <w:rFonts w:ascii="Verdana" w:hAnsi="Verdana"/>
        </w:rPr>
      </w:pPr>
    </w:p>
    <w:p w:rsidR="00B13B5D" w:rsidRPr="00B13B5D" w:rsidRDefault="00B13B5D" w:rsidP="00B13B5D">
      <w:pPr>
        <w:pStyle w:val="ListParagraph"/>
        <w:rPr>
          <w:rFonts w:ascii="Verdana" w:hAnsi="Verdana"/>
        </w:rPr>
      </w:pPr>
    </w:p>
    <w:p w:rsidR="00B13B5D" w:rsidRDefault="00B13B5D">
      <w:bookmarkStart w:id="0" w:name="_GoBack"/>
      <w:bookmarkEnd w:id="0"/>
    </w:p>
    <w:sectPr w:rsidR="00B13B5D" w:rsidSect="00B1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71CD"/>
    <w:multiLevelType w:val="hybridMultilevel"/>
    <w:tmpl w:val="A9908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42145"/>
    <w:multiLevelType w:val="hybridMultilevel"/>
    <w:tmpl w:val="941A2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AB1E71"/>
    <w:multiLevelType w:val="hybridMultilevel"/>
    <w:tmpl w:val="A9908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66315"/>
    <w:multiLevelType w:val="hybridMultilevel"/>
    <w:tmpl w:val="DA18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3BEF"/>
    <w:multiLevelType w:val="multilevel"/>
    <w:tmpl w:val="F9A4C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4"/>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5D"/>
    <w:rsid w:val="00021C09"/>
    <w:rsid w:val="001E36CB"/>
    <w:rsid w:val="00AA78AA"/>
    <w:rsid w:val="00B13B5D"/>
    <w:rsid w:val="00B3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5E27"/>
  <w15:chartTrackingRefBased/>
  <w15:docId w15:val="{04F4CC8E-7ECB-4A80-B293-CD51CF7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B5D"/>
    <w:rPr>
      <w:color w:val="0000FF"/>
      <w:u w:val="single"/>
    </w:rPr>
  </w:style>
  <w:style w:type="paragraph" w:styleId="ListParagraph">
    <w:name w:val="List Paragraph"/>
    <w:basedOn w:val="Normal"/>
    <w:uiPriority w:val="34"/>
    <w:qFormat/>
    <w:rsid w:val="00B13B5D"/>
    <w:pPr>
      <w:spacing w:before="100" w:beforeAutospacing="1" w:after="100" w:afterAutospacing="1"/>
    </w:pPr>
  </w:style>
  <w:style w:type="character" w:customStyle="1" w:styleId="apple-converted-space">
    <w:name w:val="apple-converted-space"/>
    <w:basedOn w:val="DefaultParagraphFont"/>
    <w:rsid w:val="00B13B5D"/>
  </w:style>
  <w:style w:type="table" w:styleId="TableGrid">
    <w:name w:val="Table Grid"/>
    <w:basedOn w:val="TableNormal"/>
    <w:uiPriority w:val="39"/>
    <w:rsid w:val="00B1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heathcote-elliott@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mail.trustwave.com/?c=261&amp;d=kvOe4agpIKDjnh1zL0v-3FTPyBMwD56mHBuMEqF-7A&amp;u=https%3a%2f%2fphw%2enhs%2ewales%2fservices-and-teams%2fwider-determinants-of-health-unit%2fgood-fair-work%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Heathcote-Elliott (Public Health Wales - No. 2 Capital Quarter)</dc:creator>
  <cp:keywords/>
  <dc:description/>
  <cp:lastModifiedBy>Christian Heathcote-Elliott (Public Health Wales - No. 2 Capital Quarter)</cp:lastModifiedBy>
  <cp:revision>2</cp:revision>
  <dcterms:created xsi:type="dcterms:W3CDTF">2021-08-20T08:28:00Z</dcterms:created>
  <dcterms:modified xsi:type="dcterms:W3CDTF">2021-08-20T08:28:00Z</dcterms:modified>
</cp:coreProperties>
</file>